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711"/>
        <w:jc w:val="center"/>
        <w:rPr>
          <w:b w:val="1"/>
          <w:sz w:val="28"/>
        </w:rPr>
      </w:pPr>
    </w:p>
    <w:p w14:paraId="02000000">
      <w:pPr>
        <w:ind w:firstLine="708" w:left="1416"/>
        <w:rPr>
          <w:b w:val="1"/>
          <w:sz w:val="28"/>
        </w:rPr>
      </w:pPr>
      <w:r>
        <w:rPr>
          <w:b w:val="1"/>
          <w:sz w:val="28"/>
        </w:rPr>
        <w:t>Эндоваскулярные методы диагностики и лечения</w:t>
      </w:r>
    </w:p>
    <w:p w14:paraId="03000000">
      <w:pPr>
        <w:ind w:firstLine="708" w:left="1416"/>
        <w:rPr>
          <w:b w:val="1"/>
          <w:sz w:val="28"/>
        </w:rPr>
      </w:pPr>
    </w:p>
    <w:p w14:paraId="04000000">
      <w:pPr>
        <w:ind w:firstLine="708" w:left="1416"/>
      </w:pPr>
    </w:p>
    <w:tbl>
      <w:tblPr>
        <w:tblStyle w:val="Style_1"/>
        <w:tblW w:type="auto" w:w="0"/>
        <w:tblInd w:type="dxa" w:w="26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</w:t>
            </w:r>
          </w:p>
        </w:tc>
      </w:tr>
      <w:tr>
        <w:trPr>
          <w:trHeight w:hRule="atLeast" w:val="487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</w:tr>
    </w:tbl>
    <w:p w14:paraId="06000000">
      <w:pPr>
        <w:ind w:firstLine="708"/>
        <w:rPr>
          <w:rFonts w:ascii="Liberation Serif" w:hAnsi="Liberation Serif"/>
          <w:sz w:val="22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2_ch"/>
    <w:link w:val="Style_9"/>
    <w:rPr>
      <w:rFonts w:ascii="Calibri" w:hAnsi="Calibri"/>
      <w:sz w:val="22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2025-04-04T10:06:55Z</dcterms:modified>
</cp:coreProperties>
</file>